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附件11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  <w:rPr>
          <w:rFonts w:cs="仿宋_GB2312" w:asciiTheme="minorEastAsia" w:hAnsiTheme="minorEastAsia" w:eastAsiaTheme="minorEastAsia"/>
          <w:b/>
          <w:snapToGrid w:val="0"/>
          <w:kern w:val="2"/>
          <w:sz w:val="30"/>
          <w:szCs w:val="30"/>
        </w:rPr>
      </w:pPr>
      <w:bookmarkStart w:id="0" w:name="_GoBack"/>
      <w:r>
        <w:rPr>
          <w:rFonts w:hint="eastAsia" w:cs="仿宋_GB2312" w:asciiTheme="minorEastAsia" w:hAnsiTheme="minorEastAsia" w:eastAsiaTheme="minorEastAsia"/>
          <w:b/>
          <w:snapToGrid w:val="0"/>
          <w:kern w:val="2"/>
          <w:sz w:val="30"/>
          <w:szCs w:val="30"/>
        </w:rPr>
        <w:t>关于**申请担任遗产管理人的公示</w:t>
      </w:r>
      <w:bookmarkEnd w:id="0"/>
    </w:p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  <w:rPr>
          <w:rFonts w:cs="Helvetica" w:asciiTheme="minorEastAsia" w:hAnsiTheme="minorEastAsia" w:eastAsiaTheme="minorEastAsia"/>
          <w:b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88" w:firstLineChars="196"/>
        <w:jc w:val="both"/>
        <w:rPr>
          <w:rFonts w:cs="Helvetica" w:asciiTheme="minorEastAsia" w:hAnsiTheme="minorEastAsia" w:eastAsiaTheme="minorEastAsia"/>
          <w:color w:val="C00000"/>
          <w:sz w:val="30"/>
          <w:szCs w:val="30"/>
        </w:rPr>
      </w:pPr>
      <w:r>
        <w:rPr>
          <w:rFonts w:hint="eastAsia" w:cs="Helvetica" w:asciiTheme="minorEastAsia" w:hAnsiTheme="minorEastAsia" w:eastAsiaTheme="minorEastAsia"/>
          <w:sz w:val="30"/>
          <w:szCs w:val="30"/>
        </w:rPr>
        <w:t>现有**申请担任遗产管理人，经核验，我中心拟对该不动产由**担任遗产管理人进行公示，如有异议，请自本公示之日起60日内（    年  月  日之前）将异议书面材料送达我中心。逾期无人提出异议或者异议不成立的，我中心将予以认定**担任遗产管理人。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88" w:firstLineChars="196"/>
        <w:jc w:val="both"/>
        <w:rPr>
          <w:rFonts w:cs="Helvetica" w:asciiTheme="minorEastAsia" w:hAnsiTheme="minorEastAsia" w:eastAsiaTheme="minorEastAsia"/>
          <w:sz w:val="30"/>
          <w:szCs w:val="30"/>
        </w:rPr>
      </w:pPr>
      <w:r>
        <w:rPr>
          <w:rFonts w:hint="eastAsia" w:cs="Helvetica" w:asciiTheme="minorEastAsia" w:hAnsiTheme="minorEastAsia" w:eastAsiaTheme="minorEastAsia"/>
          <w:sz w:val="30"/>
          <w:szCs w:val="30"/>
        </w:rPr>
        <w:t>不动产坐落：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88" w:firstLineChars="196"/>
        <w:jc w:val="both"/>
        <w:rPr>
          <w:rFonts w:cs="Helvetica" w:asciiTheme="minorEastAsia" w:hAnsiTheme="minorEastAsia" w:eastAsiaTheme="minorEastAsia"/>
          <w:sz w:val="30"/>
          <w:szCs w:val="30"/>
        </w:rPr>
      </w:pPr>
      <w:r>
        <w:rPr>
          <w:rFonts w:hint="eastAsia" w:cs="Helvetica" w:asciiTheme="minorEastAsia" w:hAnsiTheme="minorEastAsia" w:eastAsiaTheme="minorEastAsia"/>
          <w:sz w:val="30"/>
          <w:szCs w:val="30"/>
        </w:rPr>
        <w:t>不动产用途：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88" w:firstLineChars="196"/>
        <w:jc w:val="both"/>
        <w:rPr>
          <w:rFonts w:cs="Helvetica" w:asciiTheme="minorEastAsia" w:hAnsiTheme="minorEastAsia" w:eastAsiaTheme="minorEastAsia"/>
          <w:sz w:val="30"/>
          <w:szCs w:val="30"/>
        </w:rPr>
      </w:pPr>
      <w:r>
        <w:rPr>
          <w:rFonts w:hint="eastAsia" w:cs="Helvetica" w:asciiTheme="minorEastAsia" w:hAnsiTheme="minorEastAsia" w:eastAsiaTheme="minorEastAsia"/>
          <w:sz w:val="30"/>
          <w:szCs w:val="30"/>
        </w:rPr>
        <w:t>不动产面积：（土地面积/房屋面积）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88" w:firstLineChars="196"/>
        <w:jc w:val="both"/>
        <w:rPr>
          <w:rFonts w:cs="Helvetica" w:asciiTheme="minorEastAsia" w:hAnsiTheme="minorEastAsia" w:eastAsiaTheme="minorEastAsia"/>
          <w:color w:val="C00000"/>
          <w:sz w:val="30"/>
          <w:szCs w:val="30"/>
        </w:rPr>
      </w:pPr>
      <w:r>
        <w:rPr>
          <w:rFonts w:hint="eastAsia" w:cs="Helvetica" w:asciiTheme="minorEastAsia" w:hAnsiTheme="minorEastAsia" w:eastAsiaTheme="minorEastAsia"/>
          <w:sz w:val="30"/>
          <w:szCs w:val="30"/>
        </w:rPr>
        <w:t>遗产管理人：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88" w:firstLineChars="196"/>
        <w:jc w:val="both"/>
        <w:rPr>
          <w:rStyle w:val="8"/>
          <w:rFonts w:cs="Helvetica" w:asciiTheme="minorEastAsia" w:hAnsiTheme="minorEastAsia" w:eastAsiaTheme="minorEastAsia"/>
          <w:sz w:val="30"/>
          <w:szCs w:val="30"/>
        </w:rPr>
      </w:pPr>
      <w:r>
        <w:rPr>
          <w:rFonts w:hint="eastAsia" w:cs="Helvetica" w:asciiTheme="minorEastAsia" w:hAnsiTheme="minorEastAsia" w:eastAsiaTheme="minorEastAsia"/>
          <w:sz w:val="30"/>
          <w:szCs w:val="30"/>
        </w:rPr>
        <w:t>异议书面材料送达地址：柳州市鱼峰区龙湖路13号柳州市民服务中心南楼四楼</w:t>
      </w:r>
      <w:r>
        <w:rPr>
          <w:rStyle w:val="8"/>
          <w:rFonts w:hint="eastAsia" w:cs="Helvetica" w:asciiTheme="minorEastAsia" w:hAnsiTheme="minorEastAsia" w:eastAsiaTheme="minorEastAsia"/>
          <w:sz w:val="30"/>
          <w:szCs w:val="30"/>
        </w:rPr>
        <w:t>继承业务受理窗口。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88" w:firstLineChars="196"/>
        <w:jc w:val="both"/>
        <w:rPr>
          <w:rStyle w:val="8"/>
          <w:rFonts w:cs="Helvetica" w:asciiTheme="minorEastAsia" w:hAnsiTheme="minorEastAsia" w:eastAsiaTheme="minorEastAsia"/>
          <w:sz w:val="30"/>
          <w:szCs w:val="30"/>
        </w:rPr>
      </w:pPr>
      <w:r>
        <w:rPr>
          <w:rStyle w:val="8"/>
          <w:rFonts w:cs="Helvetica" w:asciiTheme="minorEastAsia" w:hAnsiTheme="minorEastAsia" w:eastAsiaTheme="minorEastAsia"/>
          <w:sz w:val="30"/>
          <w:szCs w:val="30"/>
        </w:rPr>
        <w:t>联系方式：0772-</w:t>
      </w:r>
      <w:r>
        <w:rPr>
          <w:rStyle w:val="8"/>
          <w:rFonts w:hint="eastAsia" w:cs="Helvetica" w:asciiTheme="minorEastAsia" w:hAnsiTheme="minorEastAsia" w:eastAsiaTheme="minorEastAsia"/>
          <w:sz w:val="30"/>
          <w:szCs w:val="30"/>
        </w:rPr>
        <w:t>3311603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88" w:firstLineChars="196"/>
        <w:jc w:val="right"/>
        <w:rPr>
          <w:rStyle w:val="8"/>
          <w:rFonts w:cs="Helvetica" w:asciiTheme="minorEastAsia" w:hAnsiTheme="minorEastAsia" w:eastAsiaTheme="minorEastAsia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right="560" w:firstLine="588" w:firstLineChars="196"/>
        <w:jc w:val="right"/>
        <w:rPr>
          <w:rStyle w:val="8"/>
          <w:rFonts w:cs="Helvetica" w:asciiTheme="minorEastAsia" w:hAnsiTheme="minorEastAsia" w:eastAsiaTheme="minorEastAsia"/>
          <w:sz w:val="30"/>
          <w:szCs w:val="30"/>
        </w:rPr>
      </w:pPr>
      <w:r>
        <w:rPr>
          <w:rStyle w:val="8"/>
          <w:rFonts w:hint="eastAsia" w:cs="Helvetica" w:asciiTheme="minorEastAsia" w:hAnsiTheme="minorEastAsia" w:eastAsiaTheme="minorEastAsia"/>
          <w:sz w:val="30"/>
          <w:szCs w:val="30"/>
        </w:rPr>
        <w:t>柳州市不动产登记中心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right="640" w:firstLine="150" w:firstLineChars="50"/>
        <w:rPr>
          <w:rStyle w:val="8"/>
          <w:rFonts w:cs="Helvetica" w:asciiTheme="minorEastAsia" w:hAnsiTheme="minorEastAsia" w:eastAsiaTheme="minorEastAsia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right="640" w:firstLine="5850" w:firstLineChars="1950"/>
        <w:rPr>
          <w:rFonts w:asciiTheme="minorEastAsia" w:hAnsiTheme="minorEastAsia" w:eastAsiaTheme="minorEastAsia"/>
          <w:szCs w:val="30"/>
        </w:rPr>
      </w:pPr>
      <w:r>
        <w:rPr>
          <w:rStyle w:val="8"/>
          <w:rFonts w:hint="eastAsia" w:cs="Helvetica" w:asciiTheme="minorEastAsia" w:hAnsiTheme="minorEastAsia" w:eastAsiaTheme="minorEastAsia"/>
          <w:sz w:val="30"/>
          <w:szCs w:val="30"/>
        </w:rPr>
        <w:t>年  月  日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4483735</wp:posOffset>
              </wp:positionH>
              <wp:positionV relativeFrom="paragraph">
                <wp:posOffset>26035</wp:posOffset>
              </wp:positionV>
              <wp:extent cx="1115060" cy="3238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50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3.05pt;margin-top:2.05pt;height:25.5pt;width:87.8pt;mso-position-horizontal-relative:margin;z-index:251659264;mso-width-relative:page;mso-height-relative:page;" filled="f" stroked="f" coordsize="21600,21600" o:gfxdata="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x2PoLYAAAACAEAAA8AAAAAAAAAAQAgAAAAIgAAAGRycy9kb3ducmV2LnhtbFBLAQIU&#10;ABQAAAAIAIdO4kBl62sNugEAAHIDAAAOAAAAAAAAAAEAIAAAACcBAABkcnMvZTJvRG9jLnhtbFBL&#10;BQYAAAAABgAGAFkBAABT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34925</wp:posOffset>
              </wp:positionH>
              <wp:positionV relativeFrom="paragraph">
                <wp:posOffset>-112395</wp:posOffset>
              </wp:positionV>
              <wp:extent cx="102044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75pt;margin-top:-8.85pt;height:18.75pt;width:80.35pt;mso-position-horizontal-relative:margin;z-index:251660288;mso-width-relative:page;mso-height-relative:page;" filled="f" stroked="f" coordsize="21600,21600" o:gfxdata="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y5vqLYAAAACAEAAA8AAAAAAAAAAQAgAAAAIgAAAGRycy9kb3ducmV2LnhtbFBLAQIU&#10;ABQAAAAIAIdO4kAMER2FugEAAHIDAAAOAAAAAAAAAAEAIAAAACcBAABkcnMvZTJvRG9jLnhtbFBL&#10;BQYAAAAABgAGAFkBAABT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2023-12-01T02:48:31Z</dcterms:created>
  <dc:creator>Administrator</dc:creator>
  <cp:lastModifiedBy>Administrator</cp:lastModifiedBy>
  <dcterms:modified xsi:type="dcterms:W3CDTF">2023-12-01T02:48:40Z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1D529679ED0C432C83D96AB4259EDD29</vt:lpwstr>
  </property>
</Properties>
</file>